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Calibri" w:hAnsi="Calibri"/>
          <w:rFonts w:ascii="Calibri" w:hAnsi="Calibri" w:cs="Calibri"/>
          <w:b/>
          <w:i w:val="0"/>
          <w:color w:val="2C7A7B"/>
          <w:sz w:val="22"/>
          <w:caps w:val="true"/>
          <w:spacing w:val="40"/>
        </w:rPr>
        <w:t>Companion Facilitation Kit  ·  Laws 2, 8, 10 &amp; 11</w:t>
      </w:r>
    </w:p>
    <w:p>
      <w:pPr>
        <w:spacing w:after="40"/>
      </w:pPr>
      <w:r>
        <w:rPr>
          <w:rFonts w:ascii="Georgia" w:hAnsi="Georgia"/>
          <w:rFonts w:ascii="Georgia" w:hAnsi="Georgia" w:cs="Georgia"/>
          <w:b/>
          <w:i w:val="0"/>
          <w:color w:val="1F3A5F"/>
          <w:sz w:val="54"/>
        </w:rPr>
        <w:t>Daily Capacity-Huddle Facilitation Kit</w:t>
      </w:r>
    </w:p>
    <w:p>
      <w:pPr>
        <w:spacing w:after="160"/>
        <w:pBdr>
          <w:bottom w:val="single" w:sz="14" w:space="8" w:color="1F3A5F"/>
        </w:pBdr>
      </w:pPr>
      <w:r>
        <w:rPr>
          <w:rFonts w:ascii="Calibri" w:hAnsi="Calibri"/>
          <w:rFonts w:ascii="Calibri" w:hAnsi="Calibri" w:cs="Calibri"/>
          <w:b w:val="0"/>
          <w:i/>
          <w:color w:val="5A636E"/>
          <w:sz w:val="26"/>
        </w:rPr>
        <w:t>A ready-to-run 15-minute flow huddle that keeps the hospital off its own cliff</w:t>
      </w:r>
    </w:p>
    <w:p>
      <w:pPr>
        <w:shd w:val="clear" w:color="auto" w:fill="E2F0F0"/>
        <w:spacing w:before="120" w:after="240"/>
        <w:ind w:left="200" w:right="200"/>
      </w:pPr>
      <w:r>
        <w:rPr>
          <w:rFonts w:ascii="Calibri" w:hAnsi="Calibri"/>
          <w:rFonts w:ascii="Calibri" w:hAnsi="Calibri" w:cs="Calibri"/>
          <w:b w:val="0"/>
          <w:i/>
          <w:color w:val="1F3A5F"/>
          <w:sz w:val="21"/>
        </w:rPr>
        <w:t>Reliable systems cannot safely run at full capacity. This kit gives you a daily flow/capacity huddle drawn from The Utilization Paradox, The Discharge Bottleneck, The Measurement Error, and The Slack Requirement: purpose and principles, an attendee list, a timed agenda, a standard capacity board, escalation triggers tied to each unit's own operating limit, a facilitator script, and a blank reproducible worksheet.</w:t>
      </w:r>
    </w:p>
    <w:p>
      <w:pPr>
        <w:keepNext/>
        <w:spacing w:before="320" w:after="80"/>
        <w:pBdr>
          <w:bottom w:val="single" w:sz="6" w:space="3" w:color="1F3A5F"/>
        </w:pBdr>
      </w:pPr>
      <w:r>
        <w:rPr>
          <w:rFonts w:ascii="Georgia" w:hAnsi="Georgia"/>
          <w:rFonts w:ascii="Georgia" w:hAnsi="Georgia" w:cs="Georgia"/>
          <w:b/>
          <w:i w:val="0"/>
          <w:color w:val="2C7A7B"/>
          <w:sz w:val="30"/>
        </w:rPr>
        <w:t xml:space="preserve">1  </w:t>
      </w:r>
      <w:r>
        <w:rPr>
          <w:rFonts w:ascii="Georgia" w:hAnsi="Georgia"/>
          <w:rFonts w:ascii="Georgia" w:hAnsi="Georgia" w:cs="Georgia"/>
          <w:b/>
          <w:i w:val="0"/>
          <w:color w:val="1F3A5F"/>
          <w:sz w:val="30"/>
        </w:rPr>
        <w:t>Purpose &amp; Guiding Principles</w:t>
      </w:r>
    </w:p>
    <w:p>
      <w:pPr>
        <w:spacing w:after="120" w:line="274" w:lineRule="auto"/>
      </w:pPr>
      <w:r>
        <w:rPr>
          <w:rFonts w:ascii="Calibri" w:hAnsi="Calibri"/>
          <w:rFonts w:ascii="Calibri" w:hAnsi="Calibri" w:cs="Calibri"/>
          <w:b w:val="0"/>
          <w:i w:val="0"/>
          <w:color w:val="222830"/>
          <w:sz w:val="21"/>
        </w:rPr>
        <w:t>The daily capacity huddle exists to see the hospital as one tightly coupled system and to act on flow before congestion becomes crisis. The decisive question it answers is not "Are we full?" but "Are we full, or are we just blocked?" — because much hospital congestion is a problem of conversion (turning medically finished patients into empty beds), not of demand.</w:t>
      </w:r>
    </w:p>
    <w:p>
      <w:pPr>
        <w:keepNext/>
        <w:spacing w:before="220" w:after="60"/>
      </w:pPr>
      <w:r>
        <w:rPr>
          <w:rFonts w:ascii="Calibri" w:hAnsi="Calibri"/>
          <w:rFonts w:ascii="Calibri" w:hAnsi="Calibri" w:cs="Calibri"/>
          <w:b/>
          <w:i w:val="0"/>
          <w:color w:val="2C7A7B"/>
          <w:sz w:val="24"/>
        </w:rPr>
        <w:t>Three principles to run it by</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i w:val="0"/>
          <w:color w:val="1F3A5F"/>
          <w:sz w:val="21"/>
        </w:rPr>
        <w:t xml:space="preserve">See the whole system.  </w:t>
      </w:r>
      <w:r>
        <w:rPr>
          <w:rFonts w:ascii="Calibri" w:hAnsi="Calibri"/>
          <w:rFonts w:ascii="Calibri" w:hAnsi="Calibri" w:cs="Calibri"/>
          <w:b w:val="0"/>
          <w:i w:val="0"/>
          <w:color w:val="222830"/>
          <w:sz w:val="21"/>
        </w:rPr>
        <w:t>See the whole system. The ICU, OR/PACU, the wards, and the ED are competing for the same handful of discharges. Manage the building as one flow, not as siloed units each optimizing its own number.</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i w:val="0"/>
          <w:color w:val="1F3A5F"/>
          <w:sz w:val="21"/>
        </w:rPr>
        <w:t xml:space="preserve">Manage flow, not just occupancy.  </w:t>
      </w:r>
      <w:r>
        <w:rPr>
          <w:rFonts w:ascii="Calibri" w:hAnsi="Calibri"/>
          <w:rFonts w:ascii="Calibri" w:hAnsi="Calibri" w:cs="Calibri"/>
          <w:b w:val="0"/>
          <w:i w:val="0"/>
          <w:color w:val="222830"/>
          <w:sz w:val="21"/>
        </w:rPr>
        <w:t>Manage flow, not just occupancy. Throughput depends on flow stability, not raw utilization. Track movement — predicted discharges, expected admissions, boarders — not merely how full each unit is.</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i w:val="0"/>
          <w:color w:val="1F3A5F"/>
          <w:sz w:val="21"/>
        </w:rPr>
        <w:t xml:space="preserve">Protect slack.  </w:t>
      </w:r>
      <w:r>
        <w:rPr>
          <w:rFonts w:ascii="Calibri" w:hAnsi="Calibri"/>
          <w:rFonts w:ascii="Calibri" w:hAnsi="Calibri" w:cs="Calibri"/>
          <w:b w:val="0"/>
          <w:i w:val="0"/>
          <w:color w:val="222830"/>
          <w:sz w:val="21"/>
        </w:rPr>
        <w:t>Protect slack. A deliberate, protected buffer of idle capacity is not waste; it is the infrastructure of flow and safety. Distinguish good slack (an intentional buffer for the next surge) from bad slack (a bed idle because of a broken process) — defend the first, fix the second.</w:t>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Measure to teach, not to punish  </w:t>
      </w:r>
      <w:r>
        <w:rPr>
          <w:rFonts w:ascii="Calibri" w:hAnsi="Calibri"/>
          <w:rFonts w:ascii="Calibri" w:hAnsi="Calibri" w:cs="Calibri"/>
          <w:b w:val="0"/>
          <w:i/>
          <w:color w:val="222830"/>
          <w:sz w:val="20"/>
        </w:rPr>
        <w:t>Bring numbers to the huddle as a mirror, not a scoreboard. Watch the tail — the 90th-percentile delay and the boarder count — not just the average, because a comfortable average can hide the two days a week a unit hits 100%. When one unit runs clean, ask what it does and copy it, rather than shaming the others.</w:t>
      </w:r>
    </w:p>
    <w:p>
      <w:pPr>
        <w:keepNext/>
        <w:spacing w:before="320" w:after="80"/>
        <w:pBdr>
          <w:bottom w:val="single" w:sz="6" w:space="3" w:color="1F3A5F"/>
        </w:pBdr>
      </w:pPr>
      <w:r>
        <w:rPr>
          <w:rFonts w:ascii="Georgia" w:hAnsi="Georgia"/>
          <w:rFonts w:ascii="Georgia" w:hAnsi="Georgia" w:cs="Georgia"/>
          <w:b/>
          <w:i w:val="0"/>
          <w:color w:val="2C7A7B"/>
          <w:sz w:val="30"/>
        </w:rPr>
        <w:t xml:space="preserve">2  </w:t>
      </w:r>
      <w:r>
        <w:rPr>
          <w:rFonts w:ascii="Georgia" w:hAnsi="Georgia"/>
          <w:rFonts w:ascii="Georgia" w:hAnsi="Georgia" w:cs="Georgia"/>
          <w:b/>
          <w:i w:val="0"/>
          <w:color w:val="1F3A5F"/>
          <w:sz w:val="30"/>
        </w:rPr>
        <w:t>Who Attends &amp; When</w:t>
      </w:r>
    </w:p>
    <w:p>
      <w:pPr>
        <w:spacing w:after="160" w:line="274" w:lineRule="auto"/>
      </w:pPr>
      <w:r>
        <w:rPr>
          <w:rFonts w:ascii="Calibri" w:hAnsi="Calibri"/>
          <w:rFonts w:ascii="Calibri" w:hAnsi="Calibri" w:cs="Calibri"/>
          <w:b w:val="0"/>
          <w:i w:val="0"/>
          <w:color w:val="222830"/>
          <w:sz w:val="21"/>
        </w:rPr>
        <w:t>Fifteen minutes, same time every day, same place (physical board or virtual). Standing, not seated. Start on time whether or not everyone is present; the huddle does not wait.</w:t>
      </w:r>
    </w:p>
    <w:tbl>
      <w:tblPr>
        <w:tblW w:type="auto" w:w="0"/>
        <w:jc w:val="center"/>
        <w:tblLayout w:type="fixed"/>
        <w:tblLook w:firstColumn="1" w:firstRow="1" w:lastColumn="0" w:lastRow="0" w:noHBand="0" w:noVBand="1" w:val="04A0"/>
      </w:tblPr>
      <w:tblGrid>
        <w:gridCol w:w="3264"/>
        <w:gridCol w:w="3264"/>
        <w:gridCol w:w="3264"/>
      </w:tblGrid>
      <w:tr>
        <w:tc>
          <w:tcPr>
            <w:tcW w:type="dxa" w:w="34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Role</w:t>
            </w:r>
          </w:p>
        </w:tc>
        <w:tc>
          <w:tcPr>
            <w:tcW w:type="dxa" w:w="4248"/>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Brings to the huddle</w:t>
            </w:r>
          </w:p>
        </w:tc>
        <w:tc>
          <w:tcPr>
            <w:tcW w:type="dxa" w:w="34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Owns</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Facilitator (house supervisor / flow lead)</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The agenda, the clock, the capacity board</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Running the huddle to time; logging actions</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Bed management / patient placement</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Current occupancy, pending admissions, bed board status</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Bed assignments and the RTL list</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ED charge nurse / lead</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ED census, boarder count and boarding hours, expected arrivals</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ED offload and boarder escalation</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Charge nurse — each inpatient unit</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Predicted discharges, staffing vs. plan, known constraints</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Unit-level discharge execution</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Case management / social work</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Post-acute/SNF status, prior-auth holds, complex discharges</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External-barrier buffering</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Hospitalist / medical lead (or delegate)</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Discharge decisions, medical barriers to release</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Timely orders and rounding discipline</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OR / PACU representative</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PACU status, cases waiting on beds, expected post-op demand</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Surgical-flow coupling</w:t>
            </w:r>
          </w:p>
        </w:tc>
      </w:tr>
      <w:tr>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Nursing supervisor / staffing</w:t>
            </w:r>
          </w:p>
        </w:tc>
        <w:tc>
          <w:tcPr>
            <w:tcW w:type="dxa" w:w="42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Staffing vs. plan, float pool, spinning reserves</w:t>
            </w:r>
          </w:p>
        </w:tc>
        <w:tc>
          <w:tcPr>
            <w:tcW w:type="dxa" w:w="34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Matching staff to the day's load</w:t>
            </w:r>
          </w:p>
        </w:tc>
      </w:tr>
    </w:tbl>
    <w:p>
      <w:pPr>
        <w:keepNext/>
        <w:spacing w:before="320" w:after="80"/>
        <w:pBdr>
          <w:bottom w:val="single" w:sz="6" w:space="3" w:color="1F3A5F"/>
        </w:pBdr>
      </w:pPr>
      <w:r>
        <w:rPr>
          <w:rFonts w:ascii="Georgia" w:hAnsi="Georgia"/>
          <w:rFonts w:ascii="Georgia" w:hAnsi="Georgia" w:cs="Georgia"/>
          <w:b/>
          <w:i w:val="0"/>
          <w:color w:val="2C7A7B"/>
          <w:sz w:val="30"/>
        </w:rPr>
        <w:t xml:space="preserve">3  </w:t>
      </w:r>
      <w:r>
        <w:rPr>
          <w:rFonts w:ascii="Georgia" w:hAnsi="Georgia"/>
          <w:rFonts w:ascii="Georgia" w:hAnsi="Georgia" w:cs="Georgia"/>
          <w:b/>
          <w:i w:val="0"/>
          <w:color w:val="1F3A5F"/>
          <w:sz w:val="30"/>
        </w:rPr>
        <w:t>Timed Agenda (15 minutes)</w:t>
      </w:r>
    </w:p>
    <w:tbl>
      <w:tblPr>
        <w:tblW w:type="auto" w:w="0"/>
        <w:jc w:val="center"/>
        <w:tblLayout w:type="fixed"/>
        <w:tblLook w:firstColumn="1" w:firstRow="1" w:lastColumn="0" w:lastRow="0" w:noHBand="0" w:noVBand="1" w:val="04A0"/>
      </w:tblPr>
      <w:tblGrid>
        <w:gridCol w:w="3264"/>
        <w:gridCol w:w="3264"/>
        <w:gridCol w:w="3264"/>
      </w:tblGrid>
      <w:tr>
        <w:tc>
          <w:tcPr>
            <w:tcW w:type="dxa" w:w="16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8"/>
              </w:rPr>
              <w:t>Time</w:t>
            </w:r>
          </w:p>
        </w:tc>
        <w:tc>
          <w:tcPr>
            <w:tcW w:type="dxa" w:w="309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Segment</w:t>
            </w:r>
          </w:p>
        </w:tc>
        <w:tc>
          <w:tcPr>
            <w:tcW w:type="dxa" w:w="6408"/>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What happens</w:t>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i w:val="0"/>
                <w:color w:val="1F3A5F"/>
                <w:sz w:val="18"/>
              </w:rPr>
              <w:t>0:00–1:30</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Safety &amp; system snapshot</w:t>
            </w:r>
          </w:p>
        </w:tc>
        <w:tc>
          <w:tcPr>
            <w:tcW w:type="dxa" w:w="640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Any safety issue first. Then the one question: are we full, or are we blocked? Facilitator reads house occupancy and each unit's operating-limit status (green / yellow / red).</w:t>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i w:val="0"/>
                <w:color w:val="1F3A5F"/>
                <w:sz w:val="18"/>
              </w:rPr>
              <w:t>1:30–5:00</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Predicted discharges (pull, by unit)</w:t>
            </w:r>
          </w:p>
        </w:tc>
        <w:tc>
          <w:tcPr>
            <w:tcW w:type="dxa" w:w="640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Each unit names its predicted discharges and target-out times, flags the single barrier on each, and states % expected before 11:00. Focus on movement, not census.</w:t>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i w:val="0"/>
                <w:color w:val="1F3A5F"/>
                <w:sz w:val="18"/>
              </w:rPr>
              <w:t>5:00–8:00</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Incoming demand &amp; boarders</w:t>
            </w:r>
          </w:p>
        </w:tc>
        <w:tc>
          <w:tcPr>
            <w:tcW w:type="dxa" w:w="640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ED reports census, boarder count and boarding hours, and expected arrivals; OR/PACU reports cases waiting on beds. Bed management reconciles pending admissions against expected exits.</w:t>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i w:val="0"/>
                <w:color w:val="1F3A5F"/>
                <w:sz w:val="18"/>
              </w:rPr>
              <w:t>8:00–10:30</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Constraints, staffing &amp; slack</w:t>
            </w:r>
          </w:p>
        </w:tc>
        <w:tc>
          <w:tcPr>
            <w:tcW w:type="dxa" w:w="640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Known constraints (closed beds, equipment, isolation), staffing vs. plan, and where the protected buffer / spinning reserve stands. Name any unit at or near its operating limit.</w:t>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i w:val="0"/>
                <w:color w:val="1F3A5F"/>
                <w:sz w:val="18"/>
              </w:rPr>
              <w:t>10:30–13:30</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Escalation &amp; actions</w:t>
            </w:r>
          </w:p>
        </w:tc>
        <w:tc>
          <w:tcPr>
            <w:tcW w:type="dxa" w:w="640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For every red or near-limit unit, trigger the matching action (see §5). Assign each open barrier a single owner and a clear-by time. Facilitator logs actions on the worksheet.</w:t>
            </w:r>
          </w:p>
        </w:tc>
      </w:tr>
      <w:tr>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i w:val="0"/>
                <w:color w:val="1F3A5F"/>
                <w:sz w:val="18"/>
              </w:rPr>
              <w:t>13:30–15:00</w:t>
            </w:r>
          </w:p>
        </w:tc>
        <w:tc>
          <w:tcPr>
            <w:tcW w:type="dxa" w:w="309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Read-back &amp; close</w:t>
            </w:r>
          </w:p>
        </w:tc>
        <w:tc>
          <w:tcPr>
            <w:tcW w:type="dxa" w:w="640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Facilitator reads back the day's operating-limit status, the actions, owners, and times, and names the next check-in / trigger for re-huddle. End on time.</w:t>
            </w:r>
          </w:p>
        </w:tc>
      </w:tr>
    </w:tbl>
    <w:p>
      <w:r>
        <w:br w:type="page"/>
      </w:r>
    </w:p>
    <w:p>
      <w:pPr>
        <w:keepNext/>
        <w:spacing w:before="320" w:after="80"/>
        <w:pBdr>
          <w:bottom w:val="single" w:sz="6" w:space="3" w:color="1F3A5F"/>
        </w:pBdr>
      </w:pPr>
      <w:r>
        <w:rPr>
          <w:rFonts w:ascii="Georgia" w:hAnsi="Georgia"/>
          <w:rFonts w:ascii="Georgia" w:hAnsi="Georgia" w:cs="Georgia"/>
          <w:b/>
          <w:i w:val="0"/>
          <w:color w:val="2C7A7B"/>
          <w:sz w:val="30"/>
        </w:rPr>
        <w:t xml:space="preserve">4  </w:t>
      </w:r>
      <w:r>
        <w:rPr>
          <w:rFonts w:ascii="Georgia" w:hAnsi="Georgia"/>
          <w:rFonts w:ascii="Georgia" w:hAnsi="Georgia" w:cs="Georgia"/>
          <w:b/>
          <w:i w:val="0"/>
          <w:color w:val="1F3A5F"/>
          <w:sz w:val="30"/>
        </w:rPr>
        <w:t>Standard Capacity Board (Template)</w:t>
      </w:r>
    </w:p>
    <w:p>
      <w:pPr>
        <w:spacing w:after="160" w:line="274" w:lineRule="auto"/>
      </w:pPr>
      <w:r>
        <w:rPr>
          <w:rFonts w:ascii="Calibri" w:hAnsi="Calibri"/>
          <w:rFonts w:ascii="Calibri" w:hAnsi="Calibri" w:cs="Calibri"/>
          <w:b w:val="0"/>
          <w:i w:val="0"/>
          <w:color w:val="222830"/>
          <w:sz w:val="21"/>
        </w:rPr>
        <w:t>The single shared picture the huddle reads from. Fill one row per unit each morning. "Operating-limit status" is the unit's position against ITS OWN locally estimated operating limit — the occupancy at which its wait-time curve turns vertical — not a universal 85%. Mark it Green (below limit), Yellow (approaching), or Red (at/over).</w:t>
      </w:r>
    </w:p>
    <w:tbl>
      <w:tblPr>
        <w:tblW w:type="auto" w:w="0"/>
        <w:jc w:val="center"/>
        <w:tblLayout w:type="fixed"/>
        <w:tblLook w:firstColumn="1" w:firstRow="1" w:lastColumn="0" w:lastRow="0" w:noHBand="0" w:noVBand="1" w:val="04A0"/>
      </w:tblPr>
      <w:tblGrid>
        <w:gridCol w:w="1224"/>
        <w:gridCol w:w="1224"/>
        <w:gridCol w:w="1224"/>
        <w:gridCol w:w="1224"/>
        <w:gridCol w:w="1224"/>
        <w:gridCol w:w="1224"/>
        <w:gridCol w:w="1224"/>
        <w:gridCol w:w="1224"/>
      </w:tblGrid>
      <w:tr>
        <w:tc>
          <w:tcPr>
            <w:tcW w:type="dxa" w:w="180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6"/>
              </w:rPr>
              <w:t>Unit</w:t>
            </w:r>
          </w:p>
        </w:tc>
        <w:tc>
          <w:tcPr>
            <w:tcW w:type="dxa" w:w="1037"/>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6"/>
              </w:rPr>
              <w:t>Beds</w:t>
              <w:br/>
              <w:t>(staffed)</w:t>
            </w:r>
          </w:p>
        </w:tc>
        <w:tc>
          <w:tcPr>
            <w:tcW w:type="dxa" w:w="1037"/>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6"/>
              </w:rPr>
              <w:t>Current</w:t>
              <w:br/>
              <w:t>occ. %</w:t>
            </w:r>
          </w:p>
        </w:tc>
        <w:tc>
          <w:tcPr>
            <w:tcW w:type="dxa" w:w="1181"/>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6"/>
              </w:rPr>
              <w:t>Predicted</w:t>
              <w:br/>
              <w:t>D/C today</w:t>
            </w:r>
          </w:p>
        </w:tc>
        <w:tc>
          <w:tcPr>
            <w:tcW w:type="dxa" w:w="16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6"/>
              </w:rPr>
              <w:t>Expected admits /</w:t>
              <w:br/>
              <w:t>ED boarders</w:t>
            </w:r>
          </w:p>
        </w:tc>
        <w:tc>
          <w:tcPr>
            <w:tcW w:type="dxa" w:w="1181"/>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6"/>
              </w:rPr>
              <w:t>Staffing</w:t>
              <w:br/>
              <w:t>vs. plan</w:t>
            </w:r>
          </w:p>
        </w:tc>
        <w:tc>
          <w:tcPr>
            <w:tcW w:type="dxa" w:w="151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6"/>
              </w:rPr>
              <w:t>Known</w:t>
              <w:br/>
              <w:t>constraints</w:t>
            </w:r>
          </w:p>
        </w:tc>
        <w:tc>
          <w:tcPr>
            <w:tcW w:type="dxa" w:w="151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6"/>
              </w:rPr>
              <w:t>Operating-limit</w:t>
              <w:br/>
              <w:t>status (G/Y/R)</w:t>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7"/>
              </w:rPr>
              <w:t>ICU</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7"/>
              </w:rPr>
              <w:t>Step-down / PCU</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7"/>
              </w:rPr>
              <w:t>Med-Surg A</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7"/>
              </w:rPr>
              <w:t>Med-Surg B</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7"/>
              </w:rPr>
              <w:t>Telemetry</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7"/>
              </w:rPr>
              <w:t>PACU</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7"/>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7"/>
              </w:rPr>
              <w:t>ED (boarders)</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t>—</w:t>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7"/>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pPr>
            <w:r>
              <w:rPr>
                <w:rFonts w:ascii="Calibri" w:hAnsi="Calibri"/>
                <w:rFonts w:ascii="Calibri" w:hAnsi="Calibri" w:cs="Calibri"/>
                <w:b/>
                <w:i w:val="0"/>
                <w:color w:val="1F3A5F"/>
                <w:sz w:val="17"/>
              </w:rPr>
              <w:t>HOUSE TOTAL</w:t>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7"/>
              </w:rPr>
            </w:r>
          </w:p>
        </w:tc>
        <w:tc>
          <w:tcPr>
            <w:tcW w:type="dxa" w:w="1037"/>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7"/>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7"/>
              </w:rPr>
            </w:r>
          </w:p>
        </w:tc>
        <w:tc>
          <w:tcPr>
            <w:tcW w:type="dxa" w:w="1181"/>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pPr>
            <w:r>
              <w:rPr>
                <w:rFonts w:ascii="Calibri" w:hAnsi="Calibri"/>
                <w:rFonts w:ascii="Calibri" w:hAnsi="Calibri" w:cs="Calibri"/>
                <w:b/>
                <w:i w:val="0"/>
                <w:color w:val="1F3A5F"/>
                <w:sz w:val="17"/>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7"/>
              </w:rPr>
            </w:r>
          </w:p>
        </w:tc>
      </w:tr>
    </w:tbl>
    <w:p>
      <w:pPr>
        <w:spacing w:after="0"/>
      </w:pPr>
      <w:r>
        <w:rPr>
          <w:sz w:val="8"/>
        </w:rPr>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How to read the board  </w:t>
      </w:r>
      <w:r>
        <w:rPr>
          <w:rFonts w:ascii="Calibri" w:hAnsi="Calibri"/>
          <w:rFonts w:ascii="Calibri" w:hAnsi="Calibri" w:cs="Calibri"/>
          <w:b w:val="0"/>
          <w:i/>
          <w:color w:val="222830"/>
          <w:sz w:val="20"/>
        </w:rPr>
        <w:t>If predicted discharges across the house do not cover expected admissions plus ED boarders, the hospital is heading up the steep part of the curve today — act now. The lever with the fastest payoff is almost always clearing the exit (accelerating discharges), not squeezing the middle.</w:t>
      </w:r>
    </w:p>
    <w:p>
      <w:pPr>
        <w:keepNext/>
        <w:spacing w:before="320" w:after="80"/>
        <w:pBdr>
          <w:bottom w:val="single" w:sz="6" w:space="3" w:color="1F3A5F"/>
        </w:pBdr>
      </w:pPr>
      <w:r>
        <w:rPr>
          <w:rFonts w:ascii="Georgia" w:hAnsi="Georgia"/>
          <w:rFonts w:ascii="Georgia" w:hAnsi="Georgia" w:cs="Georgia"/>
          <w:b/>
          <w:i w:val="0"/>
          <w:color w:val="2C7A7B"/>
          <w:sz w:val="30"/>
        </w:rPr>
        <w:t xml:space="preserve">5  </w:t>
      </w:r>
      <w:r>
        <w:rPr>
          <w:rFonts w:ascii="Georgia" w:hAnsi="Georgia"/>
          <w:rFonts w:ascii="Georgia" w:hAnsi="Georgia" w:cs="Georgia"/>
          <w:b/>
          <w:i w:val="0"/>
          <w:color w:val="1F3A5F"/>
          <w:sz w:val="30"/>
        </w:rPr>
        <w:t>Escalation Triggers — When to Activate the Surge Plan</w:t>
      </w:r>
    </w:p>
    <w:p>
      <w:pPr>
        <w:spacing w:after="160" w:line="274" w:lineRule="auto"/>
      </w:pPr>
      <w:r>
        <w:rPr>
          <w:rFonts w:ascii="Calibri" w:hAnsi="Calibri"/>
          <w:rFonts w:ascii="Calibri" w:hAnsi="Calibri" w:cs="Calibri"/>
          <w:b w:val="0"/>
          <w:i w:val="0"/>
          <w:color w:val="222830"/>
          <w:sz w:val="21"/>
        </w:rPr>
        <w:t>Tie every trigger to a unit's OWN operating limit, not a universal 85% threshold. A large unit that pools demand across many beds may safely run nearer to full; a small, high-variance unit trips earlier. The number is local; what is universal is the circuit breaker that keeps the system off its own cliff. Locate each unit's limit by plotting its wait-time-versus-occupancy history and finding where the curve turns vertical.</w:t>
      </w:r>
    </w:p>
    <w:tbl>
      <w:tblPr>
        <w:tblW w:type="auto" w:w="0"/>
        <w:jc w:val="center"/>
        <w:tblLayout w:type="fixed"/>
        <w:tblLook w:firstColumn="1" w:firstRow="1" w:lastColumn="0" w:lastRow="0" w:noHBand="0" w:noVBand="1" w:val="04A0"/>
      </w:tblPr>
      <w:tblGrid>
        <w:gridCol w:w="3264"/>
        <w:gridCol w:w="3264"/>
        <w:gridCol w:w="3264"/>
      </w:tblGrid>
      <w:tr>
        <w:tc>
          <w:tcPr>
            <w:tcW w:type="dxa" w:w="180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Status</w:t>
            </w:r>
          </w:p>
        </w:tc>
        <w:tc>
          <w:tcPr>
            <w:tcW w:type="dxa" w:w="4824"/>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Trigger (relative to the unit's own limit)</w:t>
            </w:r>
          </w:p>
        </w:tc>
        <w:tc>
          <w:tcPr>
            <w:tcW w:type="dxa" w:w="453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Action</w:t>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GREEN</w:t>
            </w:r>
          </w:p>
          <w:p>
            <w:pPr>
              <w:spacing w:after="0" w:line="254" w:lineRule="auto"/>
            </w:pPr>
            <w:r>
              <w:rPr>
                <w:rFonts w:ascii="Calibri" w:hAnsi="Calibri"/>
                <w:rFonts w:ascii="Calibri" w:hAnsi="Calibri" w:cs="Calibri"/>
                <w:b/>
                <w:i w:val="0"/>
                <w:color w:val="1F3A5F"/>
                <w:sz w:val="18"/>
              </w:rPr>
              <w:t>(below limit)</w:t>
            </w:r>
          </w:p>
        </w:tc>
        <w:tc>
          <w:tcPr>
            <w:tcW w:type="dxa" w:w="482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Occupancy comfortably below the unit's inflection; discharges cover expected demand; boarders low</w:t>
            </w:r>
          </w:p>
        </w:tc>
        <w:tc>
          <w:tcPr>
            <w:tcW w:type="dxa" w:w="453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Normal operations. Protect the buffer — do not "harvest" the empty beds. Note any early warning for tomorrow.</w:t>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YELLOW</w:t>
            </w:r>
          </w:p>
          <w:p>
            <w:pPr>
              <w:spacing w:after="0" w:line="254" w:lineRule="auto"/>
            </w:pPr>
            <w:r>
              <w:rPr>
                <w:rFonts w:ascii="Calibri" w:hAnsi="Calibri"/>
                <w:rFonts w:ascii="Calibri" w:hAnsi="Calibri" w:cs="Calibri"/>
                <w:b/>
                <w:i w:val="0"/>
                <w:color w:val="1F3A5F"/>
                <w:sz w:val="18"/>
              </w:rPr>
              <w:t>(approaching)</w:t>
            </w:r>
          </w:p>
        </w:tc>
        <w:tc>
          <w:tcPr>
            <w:tcW w:type="dxa" w:w="482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Unit nearing its operating limit; predicted discharges roughly equal expected admits + boarders; boarding hours rising</w:t>
            </w:r>
          </w:p>
        </w:tc>
        <w:tc>
          <w:tcPr>
            <w:tcW w:type="dxa" w:w="453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t>Deploy a rapid-discharge team to the unit; re-confirm every predicted discharge and clear its barrier; pre-emptively slow non-urgent elective intake for the afternoon.</w:t>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RED</w:t>
            </w:r>
          </w:p>
          <w:p>
            <w:pPr>
              <w:spacing w:after="0" w:line="254" w:lineRule="auto"/>
            </w:pPr>
            <w:r>
              <w:rPr>
                <w:rFonts w:ascii="Calibri" w:hAnsi="Calibri"/>
                <w:rFonts w:ascii="Calibri" w:hAnsi="Calibri" w:cs="Calibri"/>
                <w:b/>
                <w:i w:val="0"/>
                <w:color w:val="1F3A5F"/>
                <w:sz w:val="18"/>
              </w:rPr>
              <w:t>(at / over limit)</w:t>
            </w:r>
          </w:p>
        </w:tc>
        <w:tc>
          <w:tcPr>
            <w:tcW w:type="dxa" w:w="482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Unit at or past its own operating limit; discharges do NOT cover incoming demand; ED boarding climbing; PACU/ICU holds forming</w:t>
            </w:r>
          </w:p>
        </w:tc>
        <w:tc>
          <w:tcPr>
            <w:tcW w:type="dxa" w:w="453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t>Activate the capacity / surge plan: pause non-urgent elective admissions; open the discharge lounge and spinning-reserve beds; escalate external barriers (SNF, prior auth); set a re-huddle time to verify recovery.</w:t>
            </w:r>
          </w:p>
        </w:tc>
      </w:tr>
    </w:tbl>
    <w:p>
      <w:pPr>
        <w:spacing w:after="0"/>
      </w:pPr>
      <w:r>
        <w:rPr>
          <w:sz w:val="8"/>
        </w:rPr>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Attack the variance, too  </w:t>
      </w:r>
      <w:r>
        <w:rPr>
          <w:rFonts w:ascii="Calibri" w:hAnsi="Calibri"/>
          <w:rFonts w:ascii="Calibri" w:hAnsi="Calibri" w:cs="Calibri"/>
          <w:b w:val="0"/>
          <w:i/>
          <w:color w:val="222830"/>
          <w:sz w:val="20"/>
        </w:rPr>
        <w:t>Buffers absorb bursts; smoothing removes them. Alongside the day's escalation, keep a standing agenda to level the elective schedule across the week and level discharge timing across the day. Cutting the clumpiness of admissions and discharges shrinks the spikes that cause the 100% collisions — and shrinks the buffer you need in the first place.</w:t>
      </w:r>
    </w:p>
    <w:p>
      <w:pPr>
        <w:keepNext/>
        <w:spacing w:before="320" w:after="80"/>
        <w:pBdr>
          <w:bottom w:val="single" w:sz="6" w:space="3" w:color="1F3A5F"/>
        </w:pBdr>
      </w:pPr>
      <w:r>
        <w:rPr>
          <w:rFonts w:ascii="Georgia" w:hAnsi="Georgia"/>
          <w:rFonts w:ascii="Georgia" w:hAnsi="Georgia" w:cs="Georgia"/>
          <w:b/>
          <w:i w:val="0"/>
          <w:color w:val="2C7A7B"/>
          <w:sz w:val="30"/>
        </w:rPr>
        <w:t xml:space="preserve">6  </w:t>
      </w:r>
      <w:r>
        <w:rPr>
          <w:rFonts w:ascii="Georgia" w:hAnsi="Georgia"/>
          <w:rFonts w:ascii="Georgia" w:hAnsi="Georgia" w:cs="Georgia"/>
          <w:b/>
          <w:i w:val="0"/>
          <w:color w:val="1F3A5F"/>
          <w:sz w:val="30"/>
        </w:rPr>
        <w:t>Facilitator Role &amp; Sample Script</w:t>
      </w:r>
    </w:p>
    <w:p>
      <w:pPr>
        <w:keepNext/>
        <w:spacing w:before="220" w:after="60"/>
      </w:pPr>
      <w:r>
        <w:rPr>
          <w:rFonts w:ascii="Calibri" w:hAnsi="Calibri"/>
          <w:rFonts w:ascii="Calibri" w:hAnsi="Calibri" w:cs="Calibri"/>
          <w:b/>
          <w:i w:val="0"/>
          <w:color w:val="2C7A7B"/>
          <w:sz w:val="24"/>
        </w:rPr>
        <w:t>The facilitator's job</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Start on time and end on time. Protect the 15 minutes; take problem-solving offline.</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Keep it to flow and movement — discharges, admissions, boarders, constraints, slack.</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Make sure every open barrier leaves the huddle with one owner and a clear-by time.</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Read numbers as a mirror; surface the tail (boarders, 90th-percentile waits), not just averages.</w:t>
      </w:r>
    </w:p>
    <w:p>
      <w:pPr>
        <w:spacing w:after="60" w:line="269" w:lineRule="auto"/>
        <w:ind w:left="360" w:hanging="240"/>
      </w:pPr>
      <w:r>
        <w:rPr>
          <w:rFonts w:ascii="Calibri" w:hAnsi="Calibri"/>
          <w:rFonts w:ascii="Calibri" w:hAnsi="Calibri" w:cs="Calibri"/>
          <w:b/>
          <w:i w:val="0"/>
          <w:color w:val="2C7A7B"/>
          <w:sz w:val="21"/>
        </w:rPr>
        <w:t xml:space="preserve">•  </w:t>
      </w:r>
      <w:r>
        <w:rPr>
          <w:rFonts w:ascii="Calibri" w:hAnsi="Calibri"/>
          <w:rFonts w:ascii="Calibri" w:hAnsi="Calibri" w:cs="Calibri"/>
          <w:b w:val="0"/>
          <w:i w:val="0"/>
          <w:color w:val="222830"/>
          <w:sz w:val="21"/>
        </w:rPr>
        <w:t>Log actions on the worksheet and read them back before closing.</w:t>
      </w:r>
    </w:p>
    <w:p>
      <w:pPr>
        <w:keepNext/>
        <w:spacing w:before="220" w:after="60"/>
      </w:pPr>
      <w:r>
        <w:rPr>
          <w:rFonts w:ascii="Calibri" w:hAnsi="Calibri"/>
          <w:rFonts w:ascii="Calibri" w:hAnsi="Calibri" w:cs="Calibri"/>
          <w:b/>
          <w:i w:val="0"/>
          <w:color w:val="2C7A7B"/>
          <w:sz w:val="24"/>
        </w:rPr>
        <w:t>Sample script (adapt freely)</w:t>
      </w:r>
    </w:p>
    <w:p>
      <w:pPr>
        <w:spacing w:after="80" w:line="274" w:lineRule="auto"/>
        <w:ind w:left="280" w:hanging="280"/>
      </w:pPr>
      <w:r>
        <w:rPr>
          <w:rFonts w:ascii="Calibri" w:hAnsi="Calibri"/>
          <w:rFonts w:ascii="Calibri" w:hAnsi="Calibri" w:cs="Calibri"/>
          <w:b/>
          <w:i w:val="0"/>
          <w:color w:val="2C7A7B"/>
          <w:sz w:val="20"/>
        </w:rPr>
        <w:t xml:space="preserve">Open:  </w:t>
      </w:r>
      <w:r>
        <w:rPr>
          <w:rFonts w:ascii="Calibri" w:hAnsi="Calibri"/>
          <w:rFonts w:ascii="Calibri" w:hAnsi="Calibri" w:cs="Calibri"/>
          <w:b w:val="0"/>
          <w:i/>
          <w:color w:val="222830"/>
          <w:sz w:val="20"/>
        </w:rPr>
        <w:t>"Good morning — capacity huddle, we'll be done in fifteen. Any patient-safety issue first?"</w:t>
      </w:r>
    </w:p>
    <w:p>
      <w:pPr>
        <w:spacing w:after="80" w:line="274" w:lineRule="auto"/>
        <w:ind w:left="280" w:hanging="280"/>
      </w:pPr>
      <w:r>
        <w:rPr>
          <w:rFonts w:ascii="Calibri" w:hAnsi="Calibri"/>
          <w:rFonts w:ascii="Calibri" w:hAnsi="Calibri" w:cs="Calibri"/>
          <w:b/>
          <w:i w:val="0"/>
          <w:color w:val="2C7A7B"/>
          <w:sz w:val="20"/>
        </w:rPr>
        <w:t xml:space="preserve">Frame:  </w:t>
      </w:r>
      <w:r>
        <w:rPr>
          <w:rFonts w:ascii="Calibri" w:hAnsi="Calibri"/>
          <w:rFonts w:ascii="Calibri" w:hAnsi="Calibri" w:cs="Calibri"/>
          <w:b w:val="0"/>
          <w:i/>
          <w:color w:val="222830"/>
          <w:sz w:val="20"/>
        </w:rPr>
        <w:t>"House is at ___%. The question isn't just are we full — it's are we full or are we blocked. Let's find the blocked beds."</w:t>
      </w:r>
    </w:p>
    <w:p>
      <w:pPr>
        <w:spacing w:after="80" w:line="274" w:lineRule="auto"/>
        <w:ind w:left="280" w:hanging="280"/>
      </w:pPr>
      <w:r>
        <w:rPr>
          <w:rFonts w:ascii="Calibri" w:hAnsi="Calibri"/>
          <w:rFonts w:ascii="Calibri" w:hAnsi="Calibri" w:cs="Calibri"/>
          <w:b/>
          <w:i w:val="0"/>
          <w:color w:val="2C7A7B"/>
          <w:sz w:val="20"/>
        </w:rPr>
        <w:t xml:space="preserve">Discharges (each unit):  </w:t>
      </w:r>
      <w:r>
        <w:rPr>
          <w:rFonts w:ascii="Calibri" w:hAnsi="Calibri"/>
          <w:rFonts w:ascii="Calibri" w:hAnsi="Calibri" w:cs="Calibri"/>
          <w:b w:val="0"/>
          <w:i/>
          <w:color w:val="222830"/>
          <w:sz w:val="20"/>
        </w:rPr>
        <w:t>"[Unit], how many discharges today, what time out, and what's the one barrier on each? What percent will be out before eleven?"</w:t>
      </w:r>
    </w:p>
    <w:p>
      <w:pPr>
        <w:spacing w:after="80" w:line="274" w:lineRule="auto"/>
        <w:ind w:left="280" w:hanging="280"/>
      </w:pPr>
      <w:r>
        <w:rPr>
          <w:rFonts w:ascii="Calibri" w:hAnsi="Calibri"/>
          <w:rFonts w:ascii="Calibri" w:hAnsi="Calibri" w:cs="Calibri"/>
          <w:b/>
          <w:i w:val="0"/>
          <w:color w:val="2C7A7B"/>
          <w:sz w:val="20"/>
        </w:rPr>
        <w:t xml:space="preserve">Demand:  </w:t>
      </w:r>
      <w:r>
        <w:rPr>
          <w:rFonts w:ascii="Calibri" w:hAnsi="Calibri"/>
          <w:rFonts w:ascii="Calibri" w:hAnsi="Calibri" w:cs="Calibri"/>
          <w:b w:val="0"/>
          <w:i/>
          <w:color w:val="222830"/>
          <w:sz w:val="20"/>
        </w:rPr>
        <w:t>"ED — census, boarder count, boarding hours, expected arrivals? OR/PACU — anyone waiting on a bed? Bed management, do our exits cover the incoming?"</w:t>
      </w:r>
    </w:p>
    <w:p>
      <w:pPr>
        <w:spacing w:after="80" w:line="274" w:lineRule="auto"/>
        <w:ind w:left="280" w:hanging="280"/>
      </w:pPr>
      <w:r>
        <w:rPr>
          <w:rFonts w:ascii="Calibri" w:hAnsi="Calibri"/>
          <w:rFonts w:ascii="Calibri" w:hAnsi="Calibri" w:cs="Calibri"/>
          <w:b/>
          <w:i w:val="0"/>
          <w:color w:val="2C7A7B"/>
          <w:sz w:val="20"/>
        </w:rPr>
        <w:t xml:space="preserve">Constraints &amp; slack:  </w:t>
      </w:r>
      <w:r>
        <w:rPr>
          <w:rFonts w:ascii="Calibri" w:hAnsi="Calibri"/>
          <w:rFonts w:ascii="Calibri" w:hAnsi="Calibri" w:cs="Calibri"/>
          <w:b w:val="0"/>
          <w:i/>
          <w:color w:val="222830"/>
          <w:sz w:val="20"/>
        </w:rPr>
        <w:t>"Any closed beds, isolation, or equipment holds? Staffing versus plan? Where's our reserve sitting — and is any unit at its own limit?"</w:t>
      </w:r>
    </w:p>
    <w:p>
      <w:pPr>
        <w:spacing w:after="80" w:line="274" w:lineRule="auto"/>
        <w:ind w:left="280" w:hanging="280"/>
      </w:pPr>
      <w:r>
        <w:rPr>
          <w:rFonts w:ascii="Calibri" w:hAnsi="Calibri"/>
          <w:rFonts w:ascii="Calibri" w:hAnsi="Calibri" w:cs="Calibri"/>
          <w:b/>
          <w:i w:val="0"/>
          <w:color w:val="2C7A7B"/>
          <w:sz w:val="20"/>
        </w:rPr>
        <w:t xml:space="preserve">Escalate:  </w:t>
      </w:r>
      <w:r>
        <w:rPr>
          <w:rFonts w:ascii="Calibri" w:hAnsi="Calibri"/>
          <w:rFonts w:ascii="Calibri" w:hAnsi="Calibri" w:cs="Calibri"/>
          <w:b w:val="0"/>
          <w:i/>
          <w:color w:val="222830"/>
          <w:sz w:val="20"/>
        </w:rPr>
        <w:t>"[Unit] is red / near its limit. We're deploying the rapid-discharge team and slowing non-urgent electives this afternoon. Who owns clearing [barrier], and by when?"</w:t>
      </w:r>
    </w:p>
    <w:p>
      <w:pPr>
        <w:spacing w:after="80" w:line="274" w:lineRule="auto"/>
        <w:ind w:left="280" w:hanging="280"/>
      </w:pPr>
      <w:r>
        <w:rPr>
          <w:rFonts w:ascii="Calibri" w:hAnsi="Calibri"/>
          <w:rFonts w:ascii="Calibri" w:hAnsi="Calibri" w:cs="Calibri"/>
          <w:b/>
          <w:i w:val="0"/>
          <w:color w:val="2C7A7B"/>
          <w:sz w:val="20"/>
        </w:rPr>
        <w:t xml:space="preserve">Close:  </w:t>
      </w:r>
      <w:r>
        <w:rPr>
          <w:rFonts w:ascii="Calibri" w:hAnsi="Calibri"/>
          <w:rFonts w:ascii="Calibri" w:hAnsi="Calibri" w:cs="Calibri"/>
          <w:b w:val="0"/>
          <w:i/>
          <w:color w:val="222830"/>
          <w:sz w:val="20"/>
        </w:rPr>
        <w:t>"Read-back: [unit] red, [unit] yellow; actions — [owner] clears [barrier] by [time]. We re-huddle at [time]. Thank you."</w:t>
      </w:r>
    </w:p>
    <w:p>
      <w:r>
        <w:br w:type="page"/>
      </w:r>
    </w:p>
    <w:p>
      <w:pPr>
        <w:keepNext/>
        <w:spacing w:before="320" w:after="80"/>
        <w:pBdr>
          <w:bottom w:val="single" w:sz="6" w:space="3" w:color="1F3A5F"/>
        </w:pBdr>
      </w:pPr>
      <w:r>
        <w:rPr>
          <w:rFonts w:ascii="Georgia" w:hAnsi="Georgia"/>
          <w:rFonts w:ascii="Georgia" w:hAnsi="Georgia" w:cs="Georgia"/>
          <w:b/>
          <w:i w:val="0"/>
          <w:color w:val="2C7A7B"/>
          <w:sz w:val="30"/>
        </w:rPr>
        <w:t xml:space="preserve">7  </w:t>
      </w:r>
      <w:r>
        <w:rPr>
          <w:rFonts w:ascii="Georgia" w:hAnsi="Georgia"/>
          <w:rFonts w:ascii="Georgia" w:hAnsi="Georgia" w:cs="Georgia"/>
          <w:b/>
          <w:i w:val="0"/>
          <w:color w:val="1F3A5F"/>
          <w:sz w:val="30"/>
        </w:rPr>
        <w:t>Blank Huddle Worksheet (Reproduce Daily)</w:t>
      </w:r>
    </w:p>
    <w:tbl>
      <w:tblPr>
        <w:tblW w:type="auto" w:w="0"/>
        <w:jc w:val="center"/>
        <w:tblLayout w:type="fixed"/>
        <w:tblLook w:firstColumn="1" w:firstRow="1" w:lastColumn="0" w:lastRow="0" w:noHBand="0" w:noVBand="1" w:val="04A0"/>
      </w:tblPr>
      <w:tblGrid>
        <w:gridCol w:w="2448"/>
        <w:gridCol w:w="2448"/>
        <w:gridCol w:w="2448"/>
        <w:gridCol w:w="2448"/>
      </w:tblGrid>
      <w:tr>
        <w:tc>
          <w:tcPr>
            <w:tcW w:type="dxa" w:w="273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Date</w:t>
            </w:r>
          </w:p>
        </w:tc>
        <w:tc>
          <w:tcPr>
            <w:tcW w:type="dxa" w:w="216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Time</w:t>
            </w:r>
          </w:p>
        </w:tc>
        <w:tc>
          <w:tcPr>
            <w:tcW w:type="dxa" w:w="3744"/>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Facilitator</w:t>
            </w:r>
          </w:p>
        </w:tc>
        <w:tc>
          <w:tcPr>
            <w:tcW w:type="dxa" w:w="2448"/>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House occupancy %</w:t>
            </w:r>
          </w:p>
        </w:tc>
      </w:tr>
      <w:tr>
        <w:tc>
          <w:tcPr>
            <w:tcW w:type="dxa" w:w="273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9"/>
              </w:rPr>
            </w:r>
          </w:p>
        </w:tc>
        <w:tc>
          <w:tcPr>
            <w:tcW w:type="dxa" w:w="216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9"/>
              </w:rPr>
            </w:r>
          </w:p>
        </w:tc>
        <w:tc>
          <w:tcPr>
            <w:tcW w:type="dxa" w:w="37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9"/>
              </w:rPr>
            </w:r>
          </w:p>
        </w:tc>
        <w:tc>
          <w:tcPr>
            <w:tcW w:type="dxa" w:w="244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9"/>
              </w:rPr>
            </w:r>
          </w:p>
        </w:tc>
      </w:tr>
    </w:tbl>
    <w:p>
      <w:pPr>
        <w:spacing w:after="0"/>
      </w:pPr>
      <w:r>
        <w:rPr>
          <w:sz w:val="12"/>
        </w:rPr>
      </w:r>
    </w:p>
    <w:p>
      <w:pPr>
        <w:keepNext/>
        <w:spacing w:before="220" w:after="60"/>
      </w:pPr>
      <w:r>
        <w:rPr>
          <w:rFonts w:ascii="Calibri" w:hAnsi="Calibri"/>
          <w:rFonts w:ascii="Calibri" w:hAnsi="Calibri" w:cs="Calibri"/>
          <w:b/>
          <w:i w:val="0"/>
          <w:color w:val="2C7A7B"/>
          <w:sz w:val="24"/>
        </w:rPr>
        <w:t>Capacity snapshot</w:t>
      </w:r>
    </w:p>
    <w:tbl>
      <w:tblPr>
        <w:tblW w:type="auto" w:w="0"/>
        <w:jc w:val="center"/>
        <w:tblLayout w:type="fixed"/>
        <w:tblLook w:firstColumn="1" w:firstRow="1" w:lastColumn="0" w:lastRow="0" w:noHBand="0" w:noVBand="1" w:val="04A0"/>
      </w:tblPr>
      <w:tblGrid>
        <w:gridCol w:w="1399"/>
        <w:gridCol w:w="1399"/>
        <w:gridCol w:w="1399"/>
        <w:gridCol w:w="1399"/>
        <w:gridCol w:w="1399"/>
        <w:gridCol w:w="1399"/>
        <w:gridCol w:w="1399"/>
      </w:tblGrid>
      <w:tr>
        <w:tc>
          <w:tcPr>
            <w:tcW w:type="dxa" w:w="180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7"/>
              </w:rPr>
              <w:t>Unit</w:t>
            </w:r>
          </w:p>
        </w:tc>
        <w:tc>
          <w:tcPr>
            <w:tcW w:type="dxa" w:w="108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Occ %</w:t>
            </w:r>
          </w:p>
        </w:tc>
        <w:tc>
          <w:tcPr>
            <w:tcW w:type="dxa" w:w="1368"/>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D/C today</w:t>
            </w:r>
          </w:p>
        </w:tc>
        <w:tc>
          <w:tcPr>
            <w:tcW w:type="dxa" w:w="1944"/>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Admits / boarders</w:t>
            </w:r>
          </w:p>
        </w:tc>
        <w:tc>
          <w:tcPr>
            <w:tcW w:type="dxa" w:w="1800"/>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Staffing vs. plan</w:t>
            </w:r>
          </w:p>
        </w:tc>
        <w:tc>
          <w:tcPr>
            <w:tcW w:type="dxa" w:w="16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7"/>
              </w:rPr>
              <w:t>Constraints</w:t>
            </w:r>
          </w:p>
        </w:tc>
        <w:tc>
          <w:tcPr>
            <w:tcW w:type="dxa" w:w="151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7"/>
              </w:rPr>
              <w:t>Status (G/Y/R)</w:t>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ICU</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Step-down</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Med-Surg A</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Med-Surg B</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Telemetry</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i w:val="0"/>
                <w:color w:val="1F3A5F"/>
                <w:sz w:val="18"/>
              </w:rPr>
              <w:t>PACU</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i w:val="0"/>
                <w:color w:val="1F3A5F"/>
                <w:sz w:val="18"/>
              </w:rPr>
              <w:t>ED (boarders)</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pPr>
            <w:r>
              <w:rPr>
                <w:rFonts w:ascii="Calibri" w:hAnsi="Calibri"/>
                <w:rFonts w:ascii="Calibri" w:hAnsi="Calibri" w:cs="Calibri"/>
                <w:b/>
                <w:i w:val="0"/>
                <w:color w:val="1F3A5F"/>
                <w:sz w:val="18"/>
              </w:rPr>
              <w:t>HOUSE TOTAL</w:t>
            </w:r>
          </w:p>
        </w:tc>
        <w:tc>
          <w:tcPr>
            <w:tcW w:type="dxa" w:w="108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8"/>
              </w:rPr>
            </w:r>
          </w:p>
        </w:tc>
        <w:tc>
          <w:tcPr>
            <w:tcW w:type="dxa" w:w="1800"/>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pPr>
            <w:r>
              <w:rPr>
                <w:rFonts w:ascii="Calibri" w:hAnsi="Calibri"/>
                <w:rFonts w:ascii="Calibri" w:hAnsi="Calibri" w:cs="Calibri"/>
                <w:b/>
                <w:i w:val="0"/>
                <w:color w:val="1F3A5F"/>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EAF1F5"/>
          </w:tcPr>
          <w:p>
            <w:pPr>
              <w:spacing w:after="0" w:before="0" w:line="254" w:lineRule="auto"/>
              <w:jc w:val="center"/>
            </w:pPr>
            <w:r>
              <w:rPr>
                <w:rFonts w:ascii="Calibri" w:hAnsi="Calibri"/>
                <w:rFonts w:ascii="Calibri" w:hAnsi="Calibri" w:cs="Calibri"/>
                <w:b/>
                <w:i w:val="0"/>
                <w:color w:val="1F3A5F"/>
                <w:sz w:val="18"/>
              </w:rPr>
            </w:r>
          </w:p>
        </w:tc>
      </w:tr>
    </w:tbl>
    <w:p>
      <w:pPr>
        <w:spacing w:after="0"/>
      </w:pPr>
      <w:r>
        <w:rPr>
          <w:sz w:val="12"/>
        </w:rPr>
      </w:r>
    </w:p>
    <w:p>
      <w:pPr>
        <w:keepNext/>
        <w:spacing w:before="220" w:after="60"/>
      </w:pPr>
      <w:r>
        <w:rPr>
          <w:rFonts w:ascii="Calibri" w:hAnsi="Calibri"/>
          <w:rFonts w:ascii="Calibri" w:hAnsi="Calibri" w:cs="Calibri"/>
          <w:b/>
          <w:i w:val="0"/>
          <w:color w:val="2C7A7B"/>
          <w:sz w:val="24"/>
        </w:rPr>
        <w:t>Actions &amp; barriers</w:t>
      </w:r>
    </w:p>
    <w:tbl>
      <w:tblPr>
        <w:tblW w:type="auto" w:w="0"/>
        <w:jc w:val="center"/>
        <w:tblLayout w:type="fixed"/>
        <w:tblLook w:firstColumn="1" w:firstRow="1" w:lastColumn="0" w:lastRow="0" w:noHBand="0" w:noVBand="1" w:val="04A0"/>
      </w:tblPr>
      <w:tblGrid>
        <w:gridCol w:w="1632"/>
        <w:gridCol w:w="1632"/>
        <w:gridCol w:w="1632"/>
        <w:gridCol w:w="1632"/>
        <w:gridCol w:w="1632"/>
        <w:gridCol w:w="1632"/>
      </w:tblGrid>
      <w:tr>
        <w:tc>
          <w:tcPr>
            <w:tcW w:type="dxa" w:w="57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8"/>
              </w:rPr>
              <w:t>#</w:t>
            </w:r>
          </w:p>
        </w:tc>
        <w:tc>
          <w:tcPr>
            <w:tcW w:type="dxa" w:w="4104"/>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Barrier / issue</w:t>
            </w:r>
          </w:p>
        </w:tc>
        <w:tc>
          <w:tcPr>
            <w:tcW w:type="dxa" w:w="1512"/>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Unit</w:t>
            </w:r>
          </w:p>
        </w:tc>
        <w:tc>
          <w:tcPr>
            <w:tcW w:type="dxa" w:w="1944"/>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pPr>
            <w:r>
              <w:rPr>
                <w:rFonts w:ascii="Calibri" w:hAnsi="Calibri"/>
                <w:rFonts w:ascii="Calibri" w:hAnsi="Calibri" w:cs="Calibri"/>
                <w:b/>
                <w:i w:val="0"/>
                <w:color w:val="FFFFFF"/>
                <w:sz w:val="18"/>
              </w:rPr>
              <w:t>Owner</w:t>
            </w:r>
          </w:p>
        </w:tc>
        <w:tc>
          <w:tcPr>
            <w:tcW w:type="dxa" w:w="1656"/>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8"/>
              </w:rPr>
              <w:t>Clear-by time</w:t>
            </w:r>
          </w:p>
        </w:tc>
        <w:tc>
          <w:tcPr>
            <w:tcW w:type="dxa" w:w="1368"/>
            <w:shd w:val="clear" w:color="auto" w:fill="1F3A5F"/>
            <w:tcMar>
              <w:top w:w="60" w:type="dxa"/>
              <w:bottom w:w="60" w:type="dxa"/>
              <w:start w:w="110" w:type="dxa"/>
              <w:end w:w="110" w:type="dxa"/>
              <w:left w:w="110" w:type="dxa"/>
              <w:right w:w="110" w:type="dxa"/>
            </w:tcMar>
            <w:tcBorders>
              <w:top w:val="single" w:sz="4" w:space="0" w:color="1F3A5F"/>
              <w:bottom w:val="single" w:sz="4" w:space="0" w:color="1F3A5F"/>
              <w:start w:val="single" w:sz="4" w:space="0" w:color="1F3A5F"/>
              <w:end w:val="single" w:sz="4" w:space="0" w:color="1F3A5F"/>
            </w:tcBorders>
            <w:vAlign w:val="center"/>
          </w:tcPr>
          <w:p>
            <w:pPr>
              <w:spacing w:after="0" w:before="0"/>
              <w:jc w:val="center"/>
            </w:pPr>
            <w:r>
              <w:rPr>
                <w:rFonts w:ascii="Calibri" w:hAnsi="Calibri"/>
                <w:rFonts w:ascii="Calibri" w:hAnsi="Calibri" w:cs="Calibri"/>
                <w:b/>
                <w:i w:val="0"/>
                <w:color w:val="FFFFFF"/>
                <w:sz w:val="18"/>
              </w:rPr>
              <w:t>Status</w:t>
            </w:r>
          </w:p>
        </w:tc>
      </w:tr>
      <w:tr>
        <w:tc>
          <w:tcPr>
            <w:tcW w:type="dxa" w:w="57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1</w:t>
            </w:r>
          </w:p>
        </w:tc>
        <w:tc>
          <w:tcPr>
            <w:tcW w:type="dxa" w:w="410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57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2</w:t>
            </w:r>
          </w:p>
        </w:tc>
        <w:tc>
          <w:tcPr>
            <w:tcW w:type="dxa" w:w="410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57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3</w:t>
            </w:r>
          </w:p>
        </w:tc>
        <w:tc>
          <w:tcPr>
            <w:tcW w:type="dxa" w:w="410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57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4</w:t>
            </w:r>
          </w:p>
        </w:tc>
        <w:tc>
          <w:tcPr>
            <w:tcW w:type="dxa" w:w="410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57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5</w:t>
            </w:r>
          </w:p>
        </w:tc>
        <w:tc>
          <w:tcPr>
            <w:tcW w:type="dxa" w:w="410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r>
        <w:tc>
          <w:tcPr>
            <w:tcW w:type="dxa" w:w="57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t>6</w:t>
            </w:r>
          </w:p>
        </w:tc>
        <w:tc>
          <w:tcPr>
            <w:tcW w:type="dxa" w:w="410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shd w:val="clear" w:color="auto" w:fill="F5F8FA"/>
          </w:tcPr>
          <w:p>
            <w:pPr>
              <w:spacing w:after="0" w:before="0" w:line="254" w:lineRule="auto"/>
              <w:jc w:val="center"/>
            </w:pPr>
            <w:r>
              <w:rPr>
                <w:rFonts w:ascii="Calibri" w:hAnsi="Calibri"/>
                <w:rFonts w:ascii="Calibri" w:hAnsi="Calibri" w:cs="Calibri"/>
                <w:b w:val="0"/>
                <w:i w:val="0"/>
                <w:color w:val="222830"/>
                <w:sz w:val="18"/>
              </w:rPr>
            </w:r>
          </w:p>
        </w:tc>
      </w:tr>
      <w:tr>
        <w:tc>
          <w:tcPr>
            <w:tcW w:type="dxa" w:w="57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t>7</w:t>
            </w:r>
          </w:p>
        </w:tc>
        <w:tc>
          <w:tcPr>
            <w:tcW w:type="dxa" w:w="410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512"/>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944"/>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pPr>
            <w:r>
              <w:rPr>
                <w:rFonts w:ascii="Calibri" w:hAnsi="Calibri"/>
                <w:rFonts w:ascii="Calibri" w:hAnsi="Calibri" w:cs="Calibri"/>
                <w:b w:val="0"/>
                <w:i w:val="0"/>
                <w:color w:val="222830"/>
                <w:sz w:val="18"/>
              </w:rPr>
            </w:r>
          </w:p>
        </w:tc>
        <w:tc>
          <w:tcPr>
            <w:tcW w:type="dxa" w:w="1656"/>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c>
          <w:tcPr>
            <w:tcW w:type="dxa" w:w="1368"/>
            <w:tcMar>
              <w:top w:w="60" w:type="dxa"/>
              <w:bottom w:w="60" w:type="dxa"/>
              <w:start w:w="110" w:type="dxa"/>
              <w:end w:w="110" w:type="dxa"/>
              <w:left w:w="110" w:type="dxa"/>
              <w:right w:w="110" w:type="dxa"/>
            </w:tcMar>
            <w:tcBorders>
              <w:top w:val="single" w:sz="4" w:space="0" w:color="D8E0E8"/>
              <w:bottom w:val="single" w:sz="4" w:space="0" w:color="D8E0E8"/>
              <w:start w:val="single" w:sz="4" w:space="0" w:color="D8E0E8"/>
              <w:end w:val="single" w:sz="4" w:space="0" w:color="D8E0E8"/>
            </w:tcBorders>
            <w:vAlign w:val="center"/>
          </w:tcPr>
          <w:p>
            <w:pPr>
              <w:spacing w:after="0" w:before="0" w:line="254" w:lineRule="auto"/>
              <w:jc w:val="center"/>
            </w:pPr>
            <w:r>
              <w:rPr>
                <w:rFonts w:ascii="Calibri" w:hAnsi="Calibri"/>
                <w:rFonts w:ascii="Calibri" w:hAnsi="Calibri" w:cs="Calibri"/>
                <w:b w:val="0"/>
                <w:i w:val="0"/>
                <w:color w:val="222830"/>
                <w:sz w:val="18"/>
              </w:rPr>
            </w:r>
          </w:p>
        </w:tc>
      </w:tr>
    </w:tbl>
    <w:p>
      <w:pPr>
        <w:spacing w:after="0"/>
      </w:pPr>
      <w:r>
        <w:rPr>
          <w:sz w:val="12"/>
        </w:rPr>
      </w:r>
    </w:p>
    <w:p>
      <w:pPr>
        <w:keepNext/>
        <w:spacing w:before="220" w:after="60"/>
      </w:pPr>
      <w:r>
        <w:rPr>
          <w:rFonts w:ascii="Calibri" w:hAnsi="Calibri"/>
          <w:rFonts w:ascii="Calibri" w:hAnsi="Calibri" w:cs="Calibri"/>
          <w:b/>
          <w:i w:val="0"/>
          <w:color w:val="2C7A7B"/>
          <w:sz w:val="24"/>
        </w:rPr>
        <w:t>Escalation status &amp; next check-in</w:t>
      </w:r>
    </w:p>
    <w:p>
      <w:pPr>
        <w:spacing w:after="180"/>
      </w:pPr>
      <w:r>
        <w:rPr>
          <w:rFonts w:ascii="Calibri" w:hAnsi="Calibri"/>
          <w:rFonts w:ascii="Calibri" w:hAnsi="Calibri" w:cs="Calibri"/>
          <w:b/>
          <w:i w:val="0"/>
          <w:color w:val="1F3A5F"/>
          <w:sz w:val="20"/>
        </w:rPr>
        <w:t xml:space="preserve">Units at / over operating limit (RED):  </w:t>
      </w:r>
      <w:r>
        <w:rPr>
          <w:rFonts w:ascii="Calibri" w:hAnsi="Calibri"/>
          <w:rFonts w:ascii="Calibri" w:hAnsi="Calibri" w:cs="Calibri"/>
          <w:b w:val="0"/>
          <w:i w:val="0"/>
          <w:color w:val="B8C2CC"/>
          <w:sz w:val="20"/>
        </w:rPr>
        <w:t>________________________________________________________</w:t>
      </w:r>
    </w:p>
    <w:p>
      <w:pPr>
        <w:spacing w:after="180"/>
      </w:pPr>
      <w:r>
        <w:rPr>
          <w:rFonts w:ascii="Calibri" w:hAnsi="Calibri"/>
          <w:rFonts w:ascii="Calibri" w:hAnsi="Calibri" w:cs="Calibri"/>
          <w:b/>
          <w:i w:val="0"/>
          <w:color w:val="1F3A5F"/>
          <w:sz w:val="20"/>
        </w:rPr>
        <w:t xml:space="preserve">Surge plan activated?  (Y / N) — if yes, what:  </w:t>
      </w:r>
      <w:r>
        <w:rPr>
          <w:rFonts w:ascii="Calibri" w:hAnsi="Calibri"/>
          <w:rFonts w:ascii="Calibri" w:hAnsi="Calibri" w:cs="Calibri"/>
          <w:b w:val="0"/>
          <w:i w:val="0"/>
          <w:color w:val="B8C2CC"/>
          <w:sz w:val="20"/>
        </w:rPr>
        <w:t>________________________________________________________</w:t>
      </w:r>
    </w:p>
    <w:p>
      <w:pPr>
        <w:spacing w:after="180"/>
      </w:pPr>
      <w:r>
        <w:rPr>
          <w:rFonts w:ascii="Calibri" w:hAnsi="Calibri"/>
          <w:rFonts w:ascii="Calibri" w:hAnsi="Calibri" w:cs="Calibri"/>
          <w:b/>
          <w:i w:val="0"/>
          <w:color w:val="1F3A5F"/>
          <w:sz w:val="20"/>
        </w:rPr>
        <w:t xml:space="preserve">Elective intake slowed this afternoon?  (Y / N):  </w:t>
      </w:r>
      <w:r>
        <w:rPr>
          <w:rFonts w:ascii="Calibri" w:hAnsi="Calibri"/>
          <w:rFonts w:ascii="Calibri" w:hAnsi="Calibri" w:cs="Calibri"/>
          <w:b w:val="0"/>
          <w:i w:val="0"/>
          <w:color w:val="B8C2CC"/>
          <w:sz w:val="20"/>
        </w:rPr>
        <w:t>________________________________________________________</w:t>
      </w:r>
    </w:p>
    <w:p>
      <w:pPr>
        <w:spacing w:after="180"/>
      </w:pPr>
      <w:r>
        <w:rPr>
          <w:rFonts w:ascii="Calibri" w:hAnsi="Calibri"/>
          <w:rFonts w:ascii="Calibri" w:hAnsi="Calibri" w:cs="Calibri"/>
          <w:b/>
          <w:i w:val="0"/>
          <w:color w:val="1F3A5F"/>
          <w:sz w:val="20"/>
        </w:rPr>
        <w:t xml:space="preserve">Next re-huddle / check-in time:  </w:t>
      </w:r>
      <w:r>
        <w:rPr>
          <w:rFonts w:ascii="Calibri" w:hAnsi="Calibri"/>
          <w:rFonts w:ascii="Calibri" w:hAnsi="Calibri" w:cs="Calibri"/>
          <w:b w:val="0"/>
          <w:i w:val="0"/>
          <w:color w:val="B8C2CC"/>
          <w:sz w:val="20"/>
        </w:rPr>
        <w:t>________________________________________________________</w:t>
      </w:r>
    </w:p>
    <w:p>
      <w:pPr>
        <w:spacing w:after="0"/>
      </w:pPr>
      <w:r>
        <w:rPr>
          <w:sz w:val="8"/>
        </w:rPr>
      </w:r>
    </w:p>
    <w:p>
      <w:pPr>
        <w:shd w:val="clear" w:color="auto" w:fill="EAF1F5"/>
        <w:pBdr>
          <w:left w:val="single" w:sz="20" w:space="12" w:color="2C7A7B"/>
        </w:pBdr>
        <w:spacing w:before="160" w:after="200" w:line="274" w:lineRule="auto"/>
        <w:ind w:left="240" w:right="160"/>
      </w:pPr>
      <w:r>
        <w:rPr>
          <w:rFonts w:ascii="Calibri" w:hAnsi="Calibri"/>
          <w:rFonts w:ascii="Calibri" w:hAnsi="Calibri" w:cs="Calibri"/>
          <w:b/>
          <w:i w:val="0"/>
          <w:color w:val="1F3A5F"/>
          <w:sz w:val="20"/>
          <w:caps w:val="true"/>
          <w:spacing w:val="20"/>
        </w:rPr>
        <w:t xml:space="preserve">Remember  </w:t>
      </w:r>
      <w:r>
        <w:rPr>
          <w:rFonts w:ascii="Calibri" w:hAnsi="Calibri"/>
          <w:rFonts w:ascii="Calibri" w:hAnsi="Calibri" w:cs="Calibri"/>
          <w:b w:val="0"/>
          <w:i/>
          <w:color w:val="222830"/>
          <w:sz w:val="20"/>
        </w:rPr>
        <w:t>The same empty bed that frightens the CFO is often the reason the system still works — the "protect plane" that lets the hospital absorb the next trauma. Defend good slack with the same intensity you use to eliminate bad slack.</w:t>
      </w:r>
    </w:p>
    <w:p>
      <w:pPr>
        <w:spacing w:before="320" w:after="80"/>
      </w:pPr>
      <w:r>
        <w:rPr>
          <w:rFonts w:ascii="Georgia" w:hAnsi="Georgia" w:cs="Georgia"/>
          <w:b/>
          <w:i w:val="0"/>
          <w:color w:val="2C7A7B"/>
          <w:sz w:val="30"/>
        </w:rPr>
        <w:t xml:space="preserve">8  </w:t>
      </w:r>
      <w:r>
        <w:rPr>
          <w:rFonts w:ascii="Georgia" w:hAnsi="Georgia" w:cs="Georgia"/>
          <w:b/>
          <w:i w:val="0"/>
          <w:color w:val="1F3A5F"/>
          <w:sz w:val="30"/>
        </w:rPr>
        <w:t>Before &amp; After: How the Huddle Sounds</w:t>
      </w:r>
    </w:p>
    <w:p>
      <w:pPr>
        <w:spacing w:after="120" w:line="274" w:lineRule="auto"/>
      </w:pPr>
      <w:r>
        <w:rPr>
          <w:rFonts w:ascii="Calibri" w:hAnsi="Calibri" w:cs="Calibri"/>
          <w:b w:val="0"/>
          <w:i w:val="0"/>
          <w:color w:val="222830"/>
          <w:sz w:val="21"/>
        </w:rPr>
        <w:t>Same unit, same morning, same numbers on the board — two very different huddles. The standard version reads the census and asks who is over the line. The flow-driven, 12-Laws version asks a harder question: are we actually full, or are we just blocked? Listen for the shift in language. The census huddle counts heads; the flow huddle tracks movement — exit velocity, the unit’s own operating limit, and the slack held in reserve.</w:t>
      </w:r>
    </w:p>
    <w:tbl>
      <w:tblPr>
        <w:tblW w:type="auto" w:w="0"/>
        <w:jc w:val="center"/>
        <w:tblLook w:firstColumn="1" w:firstRow="1" w:lastColumn="0" w:lastRow="0" w:noHBand="0" w:noVBand="1" w:val="04A0"/>
        <w:tblW w:w="5000" w:type="pct"/>
        <w:tblLayout w:type="fixed"/>
      </w:tblPr>
      <w:tblGrid>
        <w:gridCol w:w="1450"/>
        <w:gridCol w:w="4171"/>
        <w:gridCol w:w="4171"/>
      </w:tblGrid>
      <w:tr>
        <w:tc>
          <w:tcPr>
            <w:tcW w:type="dxa" w:w="1450"/>
            <w:shd w:val="clear" w:color="auto" w:fill="1F3A5F"/>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center"/>
          </w:tcPr>
          <w:p>
            <w:pPr>
              <w:spacing w:after="0"/>
              <w:jc w:val="left"/>
            </w:pPr>
            <w:r>
              <w:rPr>
                <w:rFonts w:ascii="Calibri" w:hAnsi="Calibri" w:cs="Calibri"/>
                <w:b/>
                <w:i w:val="0"/>
                <w:color w:val="FFFFFF"/>
                <w:sz w:val="19"/>
              </w:rPr>
            </w:r>
          </w:p>
        </w:tc>
        <w:tc>
          <w:tcPr>
            <w:tcW w:type="dxa" w:w="4171"/>
            <w:shd w:val="clear" w:color="auto" w:fill="1F3A5F"/>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center"/>
          </w:tcPr>
          <w:p>
            <w:pPr>
              <w:spacing w:after="0"/>
              <w:jc w:val="left"/>
            </w:pPr>
            <w:r>
              <w:rPr>
                <w:rFonts w:ascii="Calibri" w:hAnsi="Calibri" w:cs="Calibri"/>
                <w:b/>
                <w:i w:val="0"/>
                <w:color w:val="FFFFFF"/>
                <w:sz w:val="19"/>
              </w:rPr>
              <w:t>Standard census-driven huddle</w:t>
            </w:r>
          </w:p>
        </w:tc>
        <w:tc>
          <w:tcPr>
            <w:tcW w:type="dxa" w:w="4171"/>
            <w:shd w:val="clear" w:color="auto" w:fill="1F3A5F"/>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center"/>
          </w:tcPr>
          <w:p>
            <w:pPr>
              <w:spacing w:after="0"/>
              <w:jc w:val="left"/>
            </w:pPr>
            <w:r>
              <w:rPr>
                <w:rFonts w:ascii="Calibri" w:hAnsi="Calibri" w:cs="Calibri"/>
                <w:b/>
                <w:i w:val="0"/>
                <w:color w:val="FFFFFF"/>
                <w:sz w:val="19"/>
              </w:rPr>
              <w:t>Flow-driven 12-Laws huddle</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Opening question</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“Where do we stand? Give me a headcount by unit — how full are we right now?”</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“Good morning. First: any safety issue? Now — are we full, or are we just blocked? Let’s find the beds hiding on the Ready-to-Leave list.”</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Reading the board</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“Med-surg is at 96%, ICU’s at 91%. We’re slammed — everybody’s over census.”</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“Med-surg is past its operating limit; ICU still has slack. The 96% isn’t the story — the fourteen names on the RTL list are. How many of those are beds we already own?”</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Discharges</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“How many discharges are we expecting today? Roughly how many by end of shift?”</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“What’s our exit velocity? How many out before 11:00, and what’s the single barrier on each early one — ride, auth, meds, or a signature?”</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The core metric</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“What’s our occupancy? Are we going to hit 100%?”</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“Forget the average — it’s calm because it smooths over the collisions. What’s the tail? Boarder count, boarding hours, 90th-percentile wait?”</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An empty bed</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“Who’s got open beds we can fill? Let’s get them loaded — we can’t have rooms sitting empty.”</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“Who’s still holding their protected buffer? Keep it. That empty bed is the shock absorber that keeps us off the cliff when the next trauma rolls in.”</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The bottleneck</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“The ED is a mess again. How many are they holding? Can we push some upstairs?”</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“The ED is boarding because our exit is stalled — output failure, not input. Where’s the blocked discharge that unlocks three beds if it moves?”</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Escalation</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“We’re over 85% house-wide — call it. Activate surge and slow the ORs.”</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“Tie it to each unit’s own limit, not a blanket 85%. Med-surg is red — rapid-discharge team on the RTL list now; ICU’s fine, leave the electives alone.”</w:t>
            </w:r>
          </w:p>
        </w:tc>
      </w:tr>
      <w:tr>
        <w:tc>
          <w:tcPr>
            <w:tcW w:type="dxa" w:w="1450"/>
            <w:shd w:val="clear" w:color="auto" w:fill="EAF1F5"/>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pPr>
            <w:r>
              <w:rPr>
                <w:rFonts w:ascii="Calibri" w:hAnsi="Calibri" w:cs="Calibri"/>
                <w:b/>
                <w:i w:val="0"/>
                <w:color w:val="1F3A5F"/>
                <w:sz w:val="18"/>
              </w:rPr>
              <w:t>Closing the huddle</w:t>
            </w:r>
          </w:p>
        </w:tc>
        <w:tc>
          <w:tcPr>
            <w:tcW w:type="dxa" w:w="4171"/>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222830"/>
                <w:sz w:val="19"/>
              </w:rPr>
              <w:t>“Okay, everyone knows their census. Do what you can — let’s regroup this afternoon.”</w:t>
            </w:r>
          </w:p>
        </w:tc>
        <w:tc>
          <w:tcPr>
            <w:tcW w:type="dxa" w:w="4171"/>
            <w:shd w:val="clear" w:color="auto" w:fill="EAF3F2"/>
            <w:tcBorders>
              <w:top w:val="single" w:sz="4" w:space="0" w:color="D8E0E8"/>
              <w:bottom w:val="single" w:sz="4" w:space="0" w:color="D8E0E8"/>
              <w:start w:val="single" w:sz="4" w:space="0" w:color="D8E0E8"/>
              <w:end w:val="single" w:sz="4" w:space="0" w:color="D8E0E8"/>
            </w:tcBorders>
            <w:tcMar>
              <w:top w:w="60" w:type="dxa"/>
              <w:bottom w:w="60" w:type="dxa"/>
              <w:start w:w="110" w:type="dxa"/>
              <w:end w:w="110" w:type="dxa"/>
            </w:tcMar>
            <w:vAlign w:val="top"/>
          </w:tcPr>
          <w:p>
            <w:pPr>
              <w:spacing w:after="0" w:line="259" w:lineRule="auto"/>
            </w:pPr>
            <w:r>
              <w:rPr>
                <w:rFonts w:ascii="Calibri" w:hAnsi="Calibri" w:cs="Calibri"/>
                <w:b w:val="0"/>
                <w:i/>
                <w:color w:val="1A3636"/>
                <w:sz w:val="19"/>
              </w:rPr>
              <w:t>“Read-back: med-surg red, ICU yellow. Owners — case mgmt clears the SNF auth by 10:00, transport confirms the 11:00 loop. Re-huddle at 13:00 to check exit velocity.”</w:t>
            </w:r>
          </w:p>
        </w:tc>
      </w:tr>
    </w:tbl>
    <w:p>
      <w:pPr>
        <w:spacing w:before="160" w:after="40"/>
        <w:shd w:val="clear" w:color="auto" w:fill="EAF1F5"/>
        <w:pBdr>
          <w:top w:val="single" w:sz="4" w:space="6" w:color="2C7A7B"/>
          <w:left w:val="single" w:sz="4" w:space="6" w:color="2C7A7B"/>
          <w:bottom w:val="single" w:sz="4" w:space="6" w:color="2C7A7B"/>
          <w:right w:val="single" w:sz="4" w:space="6" w:color="2C7A7B"/>
        </w:pBdr>
      </w:pPr>
      <w:r>
        <w:rPr>
          <w:rFonts w:ascii="Calibri" w:hAnsi="Calibri" w:cs="Calibri"/>
          <w:b/>
          <w:i w:val="0"/>
          <w:color w:val="1F3A5F"/>
          <w:sz w:val="20"/>
        </w:rPr>
        <w:t xml:space="preserve">Hear the shift  </w:t>
      </w:r>
      <w:r>
        <w:rPr>
          <w:rFonts w:ascii="Calibri" w:hAnsi="Calibri" w:cs="Calibri"/>
          <w:b w:val="0"/>
          <w:i/>
          <w:color w:val="222830"/>
          <w:sz w:val="20"/>
        </w:rPr>
        <w:t>The census huddle manages a number; the flow huddle manages movement. When the room stops asking “how full are we?” and starts asking “what’s our exit velocity, where’s our operating limit, and are we full or just blocked?” — the same fifteen minutes start unlocking beds instead of just counting them.</w:t>
      </w:r>
    </w:p>
    <w:sectPr w:rsidR="00FC693F" w:rsidRPr="0006063C" w:rsidSect="00034616">
      <w:footerReference w:type="default" r:id="rId9"/>
      <w:pgSz w:w="12240" w:h="15840"/>
      <w:pgMar w:top="1224" w:right="1224" w:bottom="1152" w:left="1224" w:header="720"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jc w:val="center"/>
      <w:pBdr>
        <w:top w:val="single" w:sz="6" w:space="6" w:color="2C7A7B"/>
      </w:pBdr>
    </w:pPr>
    <w:r>
      <w:rPr>
        <w:rFonts w:ascii="Calibri" w:hAnsi="Calibri"/>
        <w:rFonts w:ascii="Calibri" w:hAnsi="Calibri" w:cs="Calibri"/>
        <w:b w:val="0"/>
        <w:i w:val="0"/>
        <w:color w:val="5A636E"/>
        <w:sz w:val="16"/>
      </w:rPr>
      <w:t>The 12 Laws of Healthcare Operations — Shane Welter  ·  companion tools at [YourWebsite.com]</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20" w:line="269" w:lineRule="auto"/>
    </w:pPr>
    <w:rPr>
      <w:rFonts w:ascii="Calibri" w:hAnsi="Calibri"/>
      <w:color w:val="222830"/>
      <w:sz w:val="21"/>
      <w:rFonts w:ascii="Calibri" w:hAnsi="Calibri" w:cs="Calibri"/>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